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4F203" w14:textId="77777777" w:rsidR="005C3845" w:rsidRDefault="005C3845" w:rsidP="005C3845">
      <w:pPr>
        <w:rPr>
          <w:rStyle w:val="ssparacontent"/>
          <w:b/>
          <w:sz w:val="28"/>
          <w:szCs w:val="28"/>
          <w:u w:val="single"/>
        </w:rPr>
      </w:pPr>
      <w:r>
        <w:rPr>
          <w:rStyle w:val="ssparacontent"/>
          <w:rFonts w:ascii="Times New Roman" w:hAnsi="Times New Roman" w:cs="Times New Roman"/>
          <w:b/>
          <w:sz w:val="28"/>
          <w:szCs w:val="28"/>
          <w:u w:val="single"/>
        </w:rPr>
        <w:t>C.R.P.P. 40:</w:t>
      </w:r>
    </w:p>
    <w:p w14:paraId="2C455EA4" w14:textId="77777777" w:rsidR="005C3845" w:rsidRDefault="005C3845" w:rsidP="005C3845">
      <w:pPr>
        <w:rPr>
          <w:rStyle w:val="ssparacontent"/>
          <w:rFonts w:ascii="Times New Roman" w:hAnsi="Times New Roman" w:cs="Times New Roman"/>
          <w:b/>
          <w:sz w:val="28"/>
          <w:szCs w:val="28"/>
          <w:u w:val="single"/>
        </w:rPr>
      </w:pPr>
    </w:p>
    <w:p w14:paraId="7C4C9596" w14:textId="77777777" w:rsidR="005C3845" w:rsidRDefault="005C3845" w:rsidP="005C3845">
      <w:pPr>
        <w:rPr>
          <w:rStyle w:val="ssparacontent"/>
          <w:rFonts w:ascii="Times New Roman" w:hAnsi="Times New Roman" w:cs="Times New Roman"/>
          <w:b/>
          <w:sz w:val="24"/>
          <w:szCs w:val="24"/>
        </w:rPr>
      </w:pPr>
      <w:r>
        <w:rPr>
          <w:rStyle w:val="ssparacontent"/>
          <w:rFonts w:ascii="Times New Roman" w:hAnsi="Times New Roman" w:cs="Times New Roman"/>
          <w:b/>
          <w:sz w:val="24"/>
          <w:szCs w:val="24"/>
        </w:rPr>
        <w:t xml:space="preserve">Rule 40. Discovery and Disclosures. </w:t>
      </w:r>
    </w:p>
    <w:p w14:paraId="21139DCB" w14:textId="77777777" w:rsidR="005C3845" w:rsidRDefault="005C3845" w:rsidP="005C3845">
      <w:pPr>
        <w:rPr>
          <w:rStyle w:val="ssparacontent"/>
          <w:rFonts w:ascii="Times New Roman" w:hAnsi="Times New Roman" w:cs="Times New Roman"/>
          <w:b/>
          <w:sz w:val="28"/>
          <w:szCs w:val="28"/>
          <w:u w:val="single"/>
        </w:rPr>
      </w:pPr>
    </w:p>
    <w:p w14:paraId="089949CB" w14:textId="77777777" w:rsidR="005C3845" w:rsidRDefault="005C3845" w:rsidP="005C3845">
      <w:pPr>
        <w:rPr>
          <w:rFonts w:eastAsia="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This rule establishes the provisions and structure for discovery and disclosures in all proceedings seeking relief under Title 15, C.R.S. Nothing in this rule will alter the court's authority and ability to direct proportional limitations on discovery or to impose a case management structure or enter other discovery orders. Upon appropriate motion or </w:t>
      </w:r>
      <w:proofErr w:type="spellStart"/>
      <w:r>
        <w:rPr>
          <w:rFonts w:ascii="Times New Roman" w:eastAsia="Times New Roman" w:hAnsi="Times New Roman" w:cs="Times New Roman"/>
          <w:sz w:val="24"/>
          <w:szCs w:val="24"/>
        </w:rPr>
        <w:t>sua</w:t>
      </w:r>
      <w:proofErr w:type="spellEnd"/>
      <w:r>
        <w:rPr>
          <w:rFonts w:ascii="Times New Roman" w:eastAsia="Times New Roman" w:hAnsi="Times New Roman" w:cs="Times New Roman"/>
          <w:sz w:val="24"/>
          <w:szCs w:val="24"/>
        </w:rPr>
        <w:t xml:space="preserve"> sponte, the court may apply the Colorado Rules of Civil Procedure in whole or in part, may fashion discovery and disclosure rules applicable to specific proceedings, and may apply different discovery and disclosure rules to different parts of the proceeding.</w:t>
      </w:r>
    </w:p>
    <w:p w14:paraId="7BB0AA70" w14:textId="77777777" w:rsidR="005C3845" w:rsidRDefault="005C3845" w:rsidP="005C3845">
      <w:pPr>
        <w:rPr>
          <w:rFonts w:ascii="Times New Roman" w:eastAsia="Times New Roman" w:hAnsi="Times New Roman" w:cs="Times New Roman"/>
          <w:sz w:val="24"/>
          <w:szCs w:val="24"/>
        </w:rPr>
      </w:pPr>
    </w:p>
    <w:p w14:paraId="438785A5" w14:textId="77777777" w:rsidR="005C3845" w:rsidRDefault="005C3845" w:rsidP="005C384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Unless otherwise ordered by the court or stipulated by the parties, the expert disclosure provisions of C.R.C.P. 26(a)(2)(A) and 26(a)(2)(B) apply to proceedings seeking relief under Title 15, C.R.S.  The timing of expert disclosures shall be established by order of the court or stipulation of the parties. The disclosure requirements of C.R.C.P. 26(a)(1) do not apply to probate proceedings unless ordered by the court or stipulated by the parties.</w:t>
      </w:r>
    </w:p>
    <w:p w14:paraId="411EE7A1" w14:textId="77777777" w:rsidR="005C3845" w:rsidRDefault="005C3845" w:rsidP="005C3845">
      <w:pPr>
        <w:rPr>
          <w:rFonts w:ascii="Times New Roman" w:eastAsia="Times New Roman" w:hAnsi="Times New Roman" w:cs="Times New Roman"/>
          <w:sz w:val="24"/>
          <w:szCs w:val="24"/>
        </w:rPr>
      </w:pPr>
    </w:p>
    <w:p w14:paraId="59A8D96A" w14:textId="77777777" w:rsidR="005C3845" w:rsidRDefault="005C3845" w:rsidP="005C384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Unless otherwise ordered by the court, the parties may engage in the discovery provided by C.R.C.P. 27 through </w:t>
      </w:r>
      <w:hyperlink r:id="rId4" w:history="1">
        <w:r>
          <w:rPr>
            <w:rStyle w:val="Hyperlink"/>
            <w:rFonts w:ascii="Times New Roman" w:eastAsia="Times New Roman" w:hAnsi="Times New Roman" w:cs="Times New Roman"/>
            <w:sz w:val="24"/>
            <w:szCs w:val="24"/>
          </w:rPr>
          <w:t>36</w:t>
        </w:r>
      </w:hyperlink>
      <w:r>
        <w:rPr>
          <w:rFonts w:ascii="Times New Roman" w:eastAsia="Times New Roman" w:hAnsi="Times New Roman" w:cs="Times New Roman"/>
          <w:sz w:val="24"/>
          <w:szCs w:val="24"/>
        </w:rPr>
        <w:t xml:space="preserve">. Any discovery conducted in Title 15 proceedings prior to the issuance of a case management or other discovery order will be subject to </w:t>
      </w:r>
      <w:hyperlink r:id="rId5" w:history="1">
        <w:r>
          <w:rPr>
            <w:rStyle w:val="Hyperlink"/>
            <w:rFonts w:ascii="Times New Roman" w:eastAsia="Times New Roman" w:hAnsi="Times New Roman" w:cs="Times New Roman"/>
            <w:sz w:val="24"/>
            <w:szCs w:val="24"/>
          </w:rPr>
          <w:t>26(a)(4)</w:t>
        </w:r>
      </w:hyperlink>
      <w:r>
        <w:rPr>
          <w:rFonts w:ascii="Times New Roman" w:eastAsia="Times New Roman" w:hAnsi="Times New Roman" w:cs="Times New Roman"/>
          <w:sz w:val="24"/>
          <w:szCs w:val="24"/>
        </w:rPr>
        <w:t xml:space="preserve"> and (5), and </w:t>
      </w:r>
      <w:hyperlink r:id="rId6" w:history="1">
        <w:r>
          <w:rPr>
            <w:rStyle w:val="Hyperlink"/>
            <w:rFonts w:ascii="Times New Roman" w:eastAsia="Times New Roman" w:hAnsi="Times New Roman" w:cs="Times New Roman"/>
            <w:sz w:val="24"/>
            <w:szCs w:val="24"/>
          </w:rPr>
          <w:t>26(b)</w:t>
        </w:r>
      </w:hyperlink>
      <w:r>
        <w:rPr>
          <w:rFonts w:ascii="Times New Roman" w:eastAsia="Times New Roman" w:hAnsi="Times New Roman" w:cs="Times New Roman"/>
          <w:sz w:val="24"/>
          <w:szCs w:val="24"/>
        </w:rPr>
        <w:t xml:space="preserve"> through (g). However, due to the unique, expedited and often exigent circumstances in which probate proceedings take place, </w:t>
      </w:r>
      <w:hyperlink r:id="rId7" w:history="1">
        <w:r>
          <w:rPr>
            <w:rStyle w:val="Hyperlink"/>
            <w:rFonts w:ascii="Times New Roman" w:eastAsia="Times New Roman" w:hAnsi="Times New Roman" w:cs="Times New Roman"/>
            <w:sz w:val="24"/>
            <w:szCs w:val="24"/>
          </w:rPr>
          <w:t>C.R.C.P. 16</w:t>
        </w:r>
      </w:hyperlink>
      <w:r>
        <w:rPr>
          <w:rFonts w:ascii="Times New Roman" w:eastAsia="Times New Roman" w:hAnsi="Times New Roman" w:cs="Times New Roman"/>
          <w:sz w:val="24"/>
          <w:szCs w:val="24"/>
        </w:rPr>
        <w:t xml:space="preserve">, </w:t>
      </w:r>
      <w:hyperlink r:id="rId8" w:history="1">
        <w:r>
          <w:rPr>
            <w:rStyle w:val="Hyperlink"/>
            <w:rFonts w:ascii="Times New Roman" w:eastAsia="Times New Roman" w:hAnsi="Times New Roman" w:cs="Times New Roman"/>
            <w:sz w:val="24"/>
            <w:szCs w:val="24"/>
          </w:rPr>
          <w:t>16.1</w:t>
        </w:r>
      </w:hyperlink>
      <w:r>
        <w:rPr>
          <w:rFonts w:ascii="Times New Roman" w:eastAsia="Times New Roman" w:hAnsi="Times New Roman" w:cs="Times New Roman"/>
          <w:sz w:val="24"/>
          <w:szCs w:val="24"/>
        </w:rPr>
        <w:t xml:space="preserve">, and </w:t>
      </w:r>
      <w:hyperlink r:id="rId9" w:history="1">
        <w:r>
          <w:rPr>
            <w:rStyle w:val="Hyperlink"/>
            <w:rFonts w:ascii="Times New Roman" w:eastAsia="Times New Roman" w:hAnsi="Times New Roman" w:cs="Times New Roman"/>
            <w:sz w:val="24"/>
            <w:szCs w:val="24"/>
          </w:rPr>
          <w:t>16.2</w:t>
        </w:r>
      </w:hyperlink>
      <w:r>
        <w:rPr>
          <w:rFonts w:ascii="Times New Roman" w:eastAsia="Times New Roman" w:hAnsi="Times New Roman" w:cs="Times New Roman"/>
          <w:sz w:val="24"/>
          <w:szCs w:val="24"/>
        </w:rPr>
        <w:t xml:space="preserve"> do not apply to probate proceedings unless ordered by the court or stipulated to by the parties.</w:t>
      </w:r>
    </w:p>
    <w:p w14:paraId="3DA98DC0" w14:textId="77777777" w:rsidR="005C3845" w:rsidRDefault="005C3845" w:rsidP="005C3845">
      <w:pPr>
        <w:rPr>
          <w:rFonts w:ascii="Times New Roman" w:eastAsia="Times New Roman" w:hAnsi="Times New Roman" w:cs="Times New Roman"/>
          <w:sz w:val="24"/>
          <w:szCs w:val="24"/>
        </w:rPr>
      </w:pPr>
    </w:p>
    <w:p w14:paraId="2CAFDB37" w14:textId="77777777" w:rsidR="005C3845" w:rsidRDefault="005C3845" w:rsidP="005C384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hyperlink r:id="rId10" w:history="1">
        <w:r>
          <w:rPr>
            <w:rStyle w:val="Hyperlink"/>
            <w:rFonts w:ascii="Times New Roman" w:eastAsia="Times New Roman" w:hAnsi="Times New Roman" w:cs="Times New Roman"/>
            <w:sz w:val="24"/>
            <w:szCs w:val="24"/>
          </w:rPr>
          <w:t>C.R.C.P. 37</w:t>
        </w:r>
      </w:hyperlink>
      <w:r>
        <w:rPr>
          <w:rFonts w:ascii="Times New Roman" w:eastAsia="Times New Roman" w:hAnsi="Times New Roman" w:cs="Times New Roman"/>
          <w:sz w:val="24"/>
          <w:szCs w:val="24"/>
        </w:rPr>
        <w:t xml:space="preserve">, </w:t>
      </w:r>
      <w:hyperlink r:id="rId11" w:history="1">
        <w:r>
          <w:rPr>
            <w:rStyle w:val="Hyperlink"/>
            <w:rFonts w:ascii="Times New Roman" w:eastAsia="Times New Roman" w:hAnsi="Times New Roman" w:cs="Times New Roman"/>
            <w:sz w:val="24"/>
            <w:szCs w:val="24"/>
          </w:rPr>
          <w:t>45</w:t>
        </w:r>
      </w:hyperlink>
      <w:r>
        <w:rPr>
          <w:rFonts w:ascii="Times New Roman" w:eastAsia="Times New Roman" w:hAnsi="Times New Roman" w:cs="Times New Roman"/>
          <w:sz w:val="24"/>
          <w:szCs w:val="24"/>
        </w:rPr>
        <w:t xml:space="preserve">, and </w:t>
      </w:r>
      <w:hyperlink r:id="rId12" w:history="1">
        <w:r>
          <w:rPr>
            <w:rStyle w:val="Hyperlink"/>
            <w:rFonts w:ascii="Times New Roman" w:eastAsia="Times New Roman" w:hAnsi="Times New Roman" w:cs="Times New Roman"/>
            <w:sz w:val="24"/>
            <w:szCs w:val="24"/>
          </w:rPr>
          <w:t>121</w:t>
        </w:r>
      </w:hyperlink>
      <w:r>
        <w:rPr>
          <w:rFonts w:ascii="Times New Roman" w:eastAsia="Times New Roman" w:hAnsi="Times New Roman" w:cs="Times New Roman"/>
          <w:sz w:val="24"/>
          <w:szCs w:val="24"/>
        </w:rPr>
        <w:t xml:space="preserve"> §   1-12 are applicable to proceedings under Title 15.</w:t>
      </w:r>
    </w:p>
    <w:p w14:paraId="71798600" w14:textId="77777777" w:rsidR="005C3845" w:rsidRDefault="005C3845" w:rsidP="005C3845">
      <w:pPr>
        <w:rPr>
          <w:rFonts w:ascii="Times New Roman" w:eastAsia="Times New Roman" w:hAnsi="Times New Roman" w:cs="Times New Roman"/>
          <w:sz w:val="24"/>
          <w:szCs w:val="24"/>
        </w:rPr>
      </w:pPr>
    </w:p>
    <w:p w14:paraId="5E16909B" w14:textId="7EC82C81" w:rsidR="005C3845" w:rsidRPr="00B460D9" w:rsidRDefault="005C3845" w:rsidP="00B460D9">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Notwithstanding subsections (a) through (c) of this rule, subpoenas and discovery </w:t>
      </w:r>
      <w:r w:rsidR="00B460D9">
        <w:rPr>
          <w:rFonts w:ascii="Times New Roman" w:eastAsia="Times New Roman" w:hAnsi="Times New Roman" w:cs="Times New Roman"/>
          <w:color w:val="FF0000"/>
          <w:sz w:val="24"/>
          <w:szCs w:val="24"/>
        </w:rPr>
        <w:t xml:space="preserve">propounded </w:t>
      </w:r>
      <w:r w:rsidRPr="00B460D9">
        <w:rPr>
          <w:rFonts w:ascii="Times New Roman" w:eastAsia="Times New Roman" w:hAnsi="Times New Roman" w:cs="Times New Roman"/>
          <w:strike/>
          <w:sz w:val="24"/>
          <w:szCs w:val="24"/>
        </w:rPr>
        <w:t xml:space="preserve">directed </w:t>
      </w:r>
      <w:r>
        <w:rPr>
          <w:rFonts w:ascii="Times New Roman" w:eastAsia="Times New Roman" w:hAnsi="Times New Roman" w:cs="Times New Roman"/>
          <w:sz w:val="24"/>
          <w:szCs w:val="24"/>
        </w:rPr>
        <w:t xml:space="preserve">to a respondent in proceedings under Title 15, Article 14, Part 3, </w:t>
      </w:r>
      <w:r w:rsidR="005E7AB6">
        <w:rPr>
          <w:rFonts w:ascii="Times New Roman" w:eastAsia="Times New Roman" w:hAnsi="Times New Roman" w:cs="Times New Roman"/>
          <w:sz w:val="24"/>
          <w:szCs w:val="24"/>
        </w:rPr>
        <w:t>are prohibited</w:t>
      </w:r>
      <w:r>
        <w:rPr>
          <w:rFonts w:ascii="Times New Roman" w:eastAsia="Times New Roman" w:hAnsi="Times New Roman" w:cs="Times New Roman"/>
          <w:sz w:val="24"/>
          <w:szCs w:val="24"/>
        </w:rPr>
        <w:t xml:space="preserve"> without leave of court, or until a petition for appointment of a guardian has been granted under §   15-14-311, C.R.S.</w:t>
      </w:r>
      <w:r w:rsidR="00B460D9">
        <w:rPr>
          <w:rFonts w:ascii="Times New Roman" w:eastAsia="Times New Roman" w:hAnsi="Times New Roman" w:cs="Times New Roman"/>
          <w:sz w:val="24"/>
          <w:szCs w:val="24"/>
        </w:rPr>
        <w:t xml:space="preserve">  </w:t>
      </w:r>
      <w:r w:rsidR="00B460D9">
        <w:rPr>
          <w:rFonts w:ascii="Times New Roman" w:eastAsia="Times New Roman" w:hAnsi="Times New Roman" w:cs="Times New Roman"/>
          <w:color w:val="FF0000"/>
          <w:sz w:val="24"/>
          <w:szCs w:val="24"/>
        </w:rPr>
        <w:t>The limits in this subsection do not apply to subpoenas or discovery propounded to a respondent’s agent under medical or financial powers of attorney.</w:t>
      </w:r>
    </w:p>
    <w:p w14:paraId="22B665A6" w14:textId="77777777" w:rsidR="005C3845" w:rsidRDefault="005C3845" w:rsidP="005C3845">
      <w:pPr>
        <w:rPr>
          <w:rFonts w:ascii="Times New Roman" w:hAnsi="Times New Roman" w:cs="Times New Roman"/>
          <w:sz w:val="24"/>
          <w:szCs w:val="24"/>
        </w:rPr>
      </w:pPr>
    </w:p>
    <w:p w14:paraId="5A1DD119" w14:textId="77777777" w:rsidR="00B460D9" w:rsidRPr="002A31BB" w:rsidRDefault="005C3845" w:rsidP="00B460D9">
      <w:pPr>
        <w:rPr>
          <w:rFonts w:ascii="Times New Roman" w:eastAsia="Times New Roman" w:hAnsi="Times New Roman" w:cs="Times New Roman"/>
          <w:color w:val="FF0000"/>
          <w:sz w:val="24"/>
          <w:szCs w:val="24"/>
        </w:rPr>
      </w:pPr>
      <w:r w:rsidRPr="00B460D9">
        <w:rPr>
          <w:rFonts w:ascii="Times New Roman" w:hAnsi="Times New Roman" w:cs="Times New Roman"/>
          <w:b/>
          <w:bCs/>
          <w:color w:val="000000" w:themeColor="text1"/>
          <w:sz w:val="24"/>
          <w:szCs w:val="24"/>
        </w:rPr>
        <w:t>(f)</w:t>
      </w:r>
      <w:r w:rsidRPr="00B460D9">
        <w:rPr>
          <w:rFonts w:ascii="Times New Roman" w:hAnsi="Times New Roman" w:cs="Times New Roman"/>
          <w:color w:val="000000" w:themeColor="text1"/>
          <w:sz w:val="24"/>
          <w:szCs w:val="24"/>
        </w:rPr>
        <w:t xml:space="preserve"> Notwithstanding subsections (a) through (d) of this rule, subpoenas and discovery </w:t>
      </w:r>
      <w:r w:rsidR="00B460D9" w:rsidRPr="00B460D9">
        <w:rPr>
          <w:rFonts w:ascii="Times New Roman" w:hAnsi="Times New Roman" w:cs="Times New Roman"/>
          <w:color w:val="FF0000"/>
          <w:sz w:val="24"/>
          <w:szCs w:val="24"/>
        </w:rPr>
        <w:t>propounded</w:t>
      </w:r>
      <w:r w:rsidR="00B460D9">
        <w:rPr>
          <w:rFonts w:ascii="Times New Roman" w:hAnsi="Times New Roman" w:cs="Times New Roman"/>
          <w:color w:val="000000" w:themeColor="text1"/>
          <w:sz w:val="24"/>
          <w:szCs w:val="24"/>
        </w:rPr>
        <w:t xml:space="preserve"> </w:t>
      </w:r>
      <w:r w:rsidRPr="00B460D9">
        <w:rPr>
          <w:rFonts w:ascii="Times New Roman" w:hAnsi="Times New Roman" w:cs="Times New Roman"/>
          <w:strike/>
          <w:color w:val="000000" w:themeColor="text1"/>
          <w:sz w:val="24"/>
          <w:szCs w:val="24"/>
        </w:rPr>
        <w:t>directed</w:t>
      </w:r>
      <w:r w:rsidRPr="00B460D9">
        <w:rPr>
          <w:rFonts w:ascii="Times New Roman" w:hAnsi="Times New Roman" w:cs="Times New Roman"/>
          <w:color w:val="000000" w:themeColor="text1"/>
          <w:sz w:val="24"/>
          <w:szCs w:val="24"/>
        </w:rPr>
        <w:t xml:space="preserve"> to a respondent in proceedings under Title 15, Article 14, Part 4, </w:t>
      </w:r>
      <w:r w:rsidR="005E7AB6" w:rsidRPr="00B460D9">
        <w:rPr>
          <w:rFonts w:ascii="Times New Roman" w:hAnsi="Times New Roman" w:cs="Times New Roman"/>
          <w:color w:val="000000" w:themeColor="text1"/>
          <w:sz w:val="24"/>
          <w:szCs w:val="24"/>
        </w:rPr>
        <w:t>are prohibited</w:t>
      </w:r>
      <w:r w:rsidRPr="00B460D9">
        <w:rPr>
          <w:rFonts w:ascii="Times New Roman" w:hAnsi="Times New Roman" w:cs="Times New Roman"/>
          <w:color w:val="000000" w:themeColor="text1"/>
          <w:sz w:val="24"/>
          <w:szCs w:val="24"/>
        </w:rPr>
        <w:t xml:space="preserve"> without leave of court, or until a petition for appointment of a conservator has been granted under </w:t>
      </w:r>
      <w:r w:rsidRPr="00B460D9">
        <w:rPr>
          <w:rFonts w:ascii="Times New Roman" w:eastAsia="Times New Roman" w:hAnsi="Times New Roman" w:cs="Times New Roman"/>
          <w:color w:val="000000" w:themeColor="text1"/>
          <w:sz w:val="24"/>
          <w:szCs w:val="24"/>
        </w:rPr>
        <w:t>§   15-14-409, C.R.S</w:t>
      </w:r>
      <w:r w:rsidR="00B460D9">
        <w:rPr>
          <w:rFonts w:ascii="Times New Roman" w:eastAsia="Times New Roman" w:hAnsi="Times New Roman" w:cs="Times New Roman"/>
          <w:color w:val="000000" w:themeColor="text1"/>
          <w:sz w:val="24"/>
          <w:szCs w:val="24"/>
        </w:rPr>
        <w:t xml:space="preserve">.  </w:t>
      </w:r>
      <w:r w:rsidR="00B460D9">
        <w:rPr>
          <w:rFonts w:ascii="Times New Roman" w:eastAsia="Times New Roman" w:hAnsi="Times New Roman" w:cs="Times New Roman"/>
          <w:color w:val="FF0000"/>
          <w:sz w:val="24"/>
          <w:szCs w:val="24"/>
        </w:rPr>
        <w:t>The limits in this subsection do not apply to subpoenas or discovery propounded to a respondent’s agent under medical or financial powers of attorney.</w:t>
      </w:r>
    </w:p>
    <w:p w14:paraId="4A6654E4" w14:textId="1899AA0F" w:rsidR="005C3845" w:rsidRPr="00B460D9" w:rsidRDefault="005C3845" w:rsidP="005C3845">
      <w:pPr>
        <w:rPr>
          <w:rFonts w:ascii="Times New Roman" w:hAnsi="Times New Roman" w:cs="Times New Roman"/>
          <w:color w:val="000000" w:themeColor="text1"/>
          <w:sz w:val="24"/>
          <w:szCs w:val="24"/>
        </w:rPr>
      </w:pPr>
      <w:bookmarkStart w:id="0" w:name="_GoBack"/>
      <w:bookmarkEnd w:id="0"/>
    </w:p>
    <w:p w14:paraId="76728870" w14:textId="77777777" w:rsidR="004134BF" w:rsidRDefault="004134BF"/>
    <w:sectPr w:rsidR="0041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45"/>
    <w:rsid w:val="004134BF"/>
    <w:rsid w:val="005C3845"/>
    <w:rsid w:val="005E7AB6"/>
    <w:rsid w:val="00B460D9"/>
    <w:rsid w:val="00F14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9E59"/>
  <w15:chartTrackingRefBased/>
  <w15:docId w15:val="{C4D3C1F5-8C55-42D6-8633-AD4A941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8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3845"/>
    <w:rPr>
      <w:color w:val="0000FF"/>
      <w:u w:val="single"/>
    </w:rPr>
  </w:style>
  <w:style w:type="character" w:customStyle="1" w:styleId="ssparacontent">
    <w:name w:val="ss_paracontent"/>
    <w:basedOn w:val="DefaultParagraphFont"/>
    <w:rsid w:val="005C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12"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11"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5"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10"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4"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9" Type="http://schemas.openxmlformats.org/officeDocument/2006/relationships/hyperlink" Target="https://advance.lexis.com/search/?pdmfid=1000516&amp;crid=f6fb3af1-2102-478c-9a34-ecb9b948fc7b&amp;pdsearchterms=crPp40&amp;pdstartin=hlct%3A1%3A1&amp;pdtypeofsearch=searchboxclick&amp;pdsearchtype=SearchBox&amp;pdqttype=and&amp;pdquerytemplateid=&amp;ecomp=b3s9k&amp;prid=fe31e9ec-6a51-41d2-af16-965a63148ae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 Evans</dc:creator>
  <cp:keywords/>
  <dc:description/>
  <cp:lastModifiedBy>Kathy Seidel</cp:lastModifiedBy>
  <cp:revision>2</cp:revision>
  <dcterms:created xsi:type="dcterms:W3CDTF">2019-10-22T18:44:00Z</dcterms:created>
  <dcterms:modified xsi:type="dcterms:W3CDTF">2019-10-22T18:44:00Z</dcterms:modified>
</cp:coreProperties>
</file>